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1774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росам) Заболотских Александр Серге</w:t>
            </w:r>
            <w:r w:rsidR="008E0B61">
              <w:rPr>
                <w:rFonts w:ascii="Times New Roman" w:hAnsi="Times New Roman"/>
                <w:sz w:val="18"/>
                <w:szCs w:val="18"/>
              </w:rPr>
              <w:t>е</w:t>
            </w:r>
            <w:r w:rsidR="008E0B61">
              <w:rPr>
                <w:rFonts w:ascii="Times New Roman" w:hAnsi="Times New Roman"/>
                <w:sz w:val="18"/>
                <w:szCs w:val="18"/>
              </w:rPr>
              <w:t>вич-начальник ремонтной службы  ЭСПЦ № 2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8E0B61">
              <w:rPr>
                <w:rFonts w:ascii="Times New Roman" w:hAnsi="Times New Roman"/>
                <w:sz w:val="18"/>
                <w:szCs w:val="18"/>
              </w:rPr>
              <w:t xml:space="preserve"> (3513) 69-69-66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, 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рес электронной почты </w:t>
            </w:r>
            <w:r w:rsidR="008E0B61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aszab</w:t>
            </w:r>
            <w:hyperlink r:id="rId8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755AC3" w:rsidP="003471A4">
            <w:pPr>
              <w:spacing w:after="0"/>
              <w:rPr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8E0B61">
              <w:rPr>
                <w:rFonts w:ascii="Times New Roman" w:hAnsi="Times New Roman"/>
                <w:sz w:val="18"/>
                <w:szCs w:val="18"/>
              </w:rPr>
              <w:t>выполнение комплекса работ по модернизации гидравл</w:t>
            </w:r>
            <w:r w:rsidR="008E0B61">
              <w:rPr>
                <w:rFonts w:ascii="Times New Roman" w:hAnsi="Times New Roman"/>
                <w:sz w:val="18"/>
                <w:szCs w:val="18"/>
              </w:rPr>
              <w:t>и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ческой системы управления</w:t>
            </w:r>
            <w:r w:rsidR="00286B6F">
              <w:rPr>
                <w:rFonts w:ascii="Times New Roman" w:hAnsi="Times New Roman"/>
                <w:sz w:val="18"/>
                <w:szCs w:val="18"/>
              </w:rPr>
              <w:t xml:space="preserve"> перемещением электродов и пуско</w:t>
            </w:r>
            <w:r w:rsidR="008E0B61">
              <w:rPr>
                <w:rFonts w:ascii="Times New Roman" w:hAnsi="Times New Roman"/>
                <w:sz w:val="18"/>
                <w:szCs w:val="18"/>
              </w:rPr>
              <w:t>наладочных р</w:t>
            </w:r>
            <w:r w:rsidR="008E0B61">
              <w:rPr>
                <w:rFonts w:ascii="Times New Roman" w:hAnsi="Times New Roman"/>
                <w:sz w:val="18"/>
                <w:szCs w:val="18"/>
              </w:rPr>
              <w:t>а</w:t>
            </w:r>
            <w:r w:rsidR="008E0B61">
              <w:rPr>
                <w:rFonts w:ascii="Times New Roman" w:hAnsi="Times New Roman"/>
                <w:sz w:val="18"/>
                <w:szCs w:val="18"/>
              </w:rPr>
              <w:t>бот</w:t>
            </w:r>
            <w:r w:rsidR="00FE6BAF" w:rsidRPr="00C21FBF">
              <w:rPr>
                <w:rFonts w:ascii="Times New Roman" w:hAnsi="Times New Roman"/>
                <w:sz w:val="18"/>
                <w:szCs w:val="18"/>
              </w:rPr>
              <w:t>.</w:t>
            </w:r>
            <w:r w:rsidR="008E0B61">
              <w:rPr>
                <w:rFonts w:ascii="Times New Roman" w:hAnsi="Times New Roman"/>
                <w:sz w:val="18"/>
                <w:szCs w:val="18"/>
              </w:rPr>
              <w:t xml:space="preserve"> Материалы предоставляет заказчик.</w:t>
            </w:r>
          </w:p>
          <w:p w:rsidR="00755AC3" w:rsidRDefault="00707E5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комплекс работ входит:</w:t>
            </w:r>
          </w:p>
          <w:p w:rsidR="00707E53" w:rsidRDefault="00707E5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дооборудование восьми гидрозамков, двадцати трех кранов шаровых высок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давления, гидроблок (плита) перемещения электродов четыре шт., клеммная коробка 1шт., стойка (рама) перемещения 1шт., датчик давления аналоговый 3шт., бесконтатный выключатель индуктивный семь шт., измерительный пункт семь шт.</w:t>
            </w:r>
          </w:p>
          <w:p w:rsidR="00707E53" w:rsidRPr="00C21FBF" w:rsidRDefault="00707E5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стойки управления электродержателей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3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 Предоплата за оборудование</w:t>
            </w:r>
            <w:r w:rsidR="00707E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более 30%, окончательный расчет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течени</w:t>
            </w:r>
            <w:r w:rsidR="00025B5E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мента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бот.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10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указанным в пункте 19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4E7AF1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ов 02 но</w:t>
            </w:r>
            <w:r w:rsidR="00D16098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я окончания приема предложений-17.00 часов 15 но</w:t>
            </w:r>
            <w:r w:rsidR="00D16098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755AC3" w:rsidRPr="004E7AF1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4E7AF1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ложений-16 но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755AC3"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03390D" w:rsidRPr="004E7AF1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приема улучшенных предложений-17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ок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тября 2017г.</w:t>
            </w:r>
          </w:p>
          <w:p w:rsidR="0003390D" w:rsidRPr="004E7AF1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-22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ября 2017г.</w:t>
            </w:r>
          </w:p>
          <w:p w:rsidR="00755AC3" w:rsidRPr="004E7AF1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4E7AF1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23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="0003390D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755AC3" w:rsidRPr="004E7AF1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составления протокола-23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="0003390D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755AC3"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о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4E7AF1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>а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купки 23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="004C337E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</w:tc>
      </w:tr>
      <w:tr w:rsidR="003471A4" w:rsidRPr="00C21FBF" w:rsidTr="004E7AF1">
        <w:trPr>
          <w:cantSplit/>
          <w:trHeight w:val="3109"/>
        </w:trPr>
        <w:tc>
          <w:tcPr>
            <w:tcW w:w="665" w:type="dxa"/>
          </w:tcPr>
          <w:p w:rsidR="003471A4" w:rsidRPr="00C21FBF" w:rsidRDefault="00C21FB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D16098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должен иметь квалифицированный персонал, установленные св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детельства и удостоверения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работы по испытанию и пусконаладке гидрооборудования подрядчик осущ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ствляет за счет собственных сил и средств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предоставляет заказчику исполнительную документацию, а 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но: исполнительные чертежи о соответствии выполненных работ этим черт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жам, необходимые акты, протоколы замеров, испытаний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производит индивидуальн</w:t>
            </w:r>
            <w:r w:rsidR="004E7AF1">
              <w:rPr>
                <w:rFonts w:ascii="Times New Roman" w:hAnsi="Times New Roman"/>
                <w:color w:val="000000"/>
                <w:sz w:val="18"/>
                <w:szCs w:val="18"/>
              </w:rPr>
              <w:t>ое испытание и комплексное опробо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ние гидрооборудования</w:t>
            </w:r>
          </w:p>
          <w:p w:rsidR="004E7AF1" w:rsidRPr="00482D88" w:rsidRDefault="004E7AF1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несет ответс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жарное состояние бытовых и складских помещений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Цена договора (цена лота) формируется с учетом расходов на доставку обор</w:t>
            </w:r>
            <w:r w:rsidRPr="00C21FBF">
              <w:rPr>
                <w:color w:val="000000"/>
                <w:sz w:val="18"/>
                <w:szCs w:val="18"/>
              </w:rPr>
              <w:t>у</w:t>
            </w:r>
            <w:r w:rsidRPr="00C21FBF">
              <w:rPr>
                <w:color w:val="000000"/>
                <w:sz w:val="18"/>
                <w:szCs w:val="18"/>
              </w:rPr>
              <w:t xml:space="preserve">дования и материалов на площадку Заказчика и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работы не менее 12 месяцев с даты подписания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CE29A6">
        <w:trPr>
          <w:cantSplit/>
          <w:trHeight w:val="91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копия свидетельства о членстве в СРО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сведения о ранее выполненных аналогичных работах и поставках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отзывы организаций, где ранее были выполнены аналогичные работы и 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ставки</w:t>
            </w:r>
          </w:p>
          <w:p w:rsidR="00D16098" w:rsidRPr="00C21FBF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1B1" w:rsidRDefault="002601B1" w:rsidP="003E7E51">
      <w:pPr>
        <w:spacing w:after="0" w:line="240" w:lineRule="auto"/>
      </w:pPr>
      <w:r>
        <w:separator/>
      </w:r>
    </w:p>
  </w:endnote>
  <w:endnote w:type="continuationSeparator" w:id="1">
    <w:p w:rsidR="002601B1" w:rsidRDefault="002601B1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1B1" w:rsidRDefault="002601B1" w:rsidP="003E7E51">
      <w:pPr>
        <w:spacing w:after="0" w:line="240" w:lineRule="auto"/>
      </w:pPr>
      <w:r>
        <w:separator/>
      </w:r>
    </w:p>
  </w:footnote>
  <w:footnote w:type="continuationSeparator" w:id="1">
    <w:p w:rsidR="002601B1" w:rsidRDefault="002601B1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25B5E"/>
    <w:rsid w:val="0003390D"/>
    <w:rsid w:val="00073CE2"/>
    <w:rsid w:val="000A3DB8"/>
    <w:rsid w:val="000C727F"/>
    <w:rsid w:val="000F69D8"/>
    <w:rsid w:val="001B12B7"/>
    <w:rsid w:val="001C66C2"/>
    <w:rsid w:val="002601B1"/>
    <w:rsid w:val="00286B6F"/>
    <w:rsid w:val="00295217"/>
    <w:rsid w:val="003471A4"/>
    <w:rsid w:val="003E2634"/>
    <w:rsid w:val="003E7E51"/>
    <w:rsid w:val="00482D88"/>
    <w:rsid w:val="004C337E"/>
    <w:rsid w:val="004E7AF1"/>
    <w:rsid w:val="006370DE"/>
    <w:rsid w:val="006B4E2B"/>
    <w:rsid w:val="00700849"/>
    <w:rsid w:val="00707E53"/>
    <w:rsid w:val="00746E08"/>
    <w:rsid w:val="00755AC3"/>
    <w:rsid w:val="007A1F84"/>
    <w:rsid w:val="00857644"/>
    <w:rsid w:val="008E0B61"/>
    <w:rsid w:val="009F1A57"/>
    <w:rsid w:val="00C21FBF"/>
    <w:rsid w:val="00CE29A6"/>
    <w:rsid w:val="00D16098"/>
    <w:rsid w:val="00E82031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chil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vor@z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2017-10-30T07:00:00Z</cp:lastPrinted>
  <dcterms:created xsi:type="dcterms:W3CDTF">2017-07-31T06:19:00Z</dcterms:created>
  <dcterms:modified xsi:type="dcterms:W3CDTF">2017-10-30T07:00:00Z</dcterms:modified>
</cp:coreProperties>
</file>